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1. OBJETIVO</w:t>
      </w:r>
      <w:r w:rsidDel="00000000" w:rsidR="00000000" w:rsidRPr="00000000">
        <w:rPr>
          <w:rtl w:val="0"/>
        </w:rPr>
      </w:r>
    </w:p>
    <w:p w:rsidR="00000000" w:rsidDel="00000000" w:rsidP="00000000" w:rsidRDefault="00000000" w:rsidRPr="00000000" w14:paraId="00000002">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Detectar las expectativas del cliente, medir su grado de satisfacción e identificar las oportunidades de mejora. </w:t>
      </w:r>
    </w:p>
    <w:p w:rsidR="00000000" w:rsidDel="00000000" w:rsidP="00000000" w:rsidRDefault="00000000" w:rsidRPr="00000000" w14:paraId="00000003">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Establecer una metodología para recibir, evaluar y tomar decisiones sobre las quejas y apelaciones.</w:t>
      </w:r>
    </w:p>
    <w:p w:rsidR="00000000" w:rsidDel="00000000" w:rsidP="00000000" w:rsidRDefault="00000000" w:rsidRPr="00000000" w14:paraId="00000004">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5">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2. ALCANCE</w:t>
      </w:r>
      <w:r w:rsidDel="00000000" w:rsidR="00000000" w:rsidRPr="00000000">
        <w:rPr>
          <w:rtl w:val="0"/>
        </w:rPr>
      </w:r>
    </w:p>
    <w:p w:rsidR="00000000" w:rsidDel="00000000" w:rsidP="00000000" w:rsidRDefault="00000000" w:rsidRPr="00000000" w14:paraId="00000006">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Todas las actividades de inspección realizadas por la empresa a través de personal propio o subcontratados calificados y la satisfacción, queja o apelación de los clientes relacionadas con esas actividades.</w:t>
      </w:r>
    </w:p>
    <w:p w:rsidR="00000000" w:rsidDel="00000000" w:rsidP="00000000" w:rsidRDefault="00000000" w:rsidRPr="00000000" w14:paraId="00000007">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8">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3. DOCUMENTOS ASOCIADOS</w:t>
      </w:r>
      <w:r w:rsidDel="00000000" w:rsidR="00000000" w:rsidRPr="00000000">
        <w:rPr>
          <w:rtl w:val="0"/>
        </w:rPr>
      </w:r>
    </w:p>
    <w:p w:rsidR="00000000" w:rsidDel="00000000" w:rsidP="00000000" w:rsidRDefault="00000000" w:rsidRPr="00000000" w14:paraId="0000000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 posee.</w:t>
      </w:r>
    </w:p>
    <w:p w:rsidR="00000000" w:rsidDel="00000000" w:rsidP="00000000" w:rsidRDefault="00000000" w:rsidRPr="00000000" w14:paraId="0000000A">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B">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4. DEFINICIONES Y ABREVIATURAS</w:t>
      </w:r>
      <w:r w:rsidDel="00000000" w:rsidR="00000000" w:rsidRPr="00000000">
        <w:rPr>
          <w:rtl w:val="0"/>
        </w:rPr>
      </w:r>
    </w:p>
    <w:p w:rsidR="00000000" w:rsidDel="00000000" w:rsidP="00000000" w:rsidRDefault="00000000" w:rsidRPr="00000000" w14:paraId="0000000C">
      <w:pPr>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Queja:</w:t>
      </w:r>
      <w:r w:rsidDel="00000000" w:rsidR="00000000" w:rsidRPr="00000000">
        <w:rPr>
          <w:rFonts w:ascii="Arial" w:cs="Arial" w:eastAsia="Arial" w:hAnsi="Arial"/>
          <w:sz w:val="22"/>
          <w:szCs w:val="22"/>
          <w:vertAlign w:val="baseline"/>
          <w:rtl w:val="0"/>
        </w:rPr>
        <w:t xml:space="preserve"> Expresión de insatisfacción, diferente de la apelación, presentada por una persona u organización a un organismo de inspección, relacionada con las actividades de dicho organismo, para la que se espera una respuesta.</w:t>
      </w:r>
    </w:p>
    <w:p w:rsidR="00000000" w:rsidDel="00000000" w:rsidP="00000000" w:rsidRDefault="00000000" w:rsidRPr="00000000" w14:paraId="0000000D">
      <w:pPr>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Apelación:</w:t>
      </w:r>
      <w:r w:rsidDel="00000000" w:rsidR="00000000" w:rsidRPr="00000000">
        <w:rPr>
          <w:rFonts w:ascii="Arial" w:cs="Arial" w:eastAsia="Arial" w:hAnsi="Arial"/>
          <w:sz w:val="22"/>
          <w:szCs w:val="22"/>
          <w:vertAlign w:val="baseline"/>
          <w:rtl w:val="0"/>
        </w:rPr>
        <w:t xml:space="preserve"> Solicitud del proveedor del ítem de inspección al organismo de inspección de reconsiderar la decisión que tomó en relación al ítem.</w:t>
      </w:r>
    </w:p>
    <w:p w:rsidR="00000000" w:rsidDel="00000000" w:rsidP="00000000" w:rsidRDefault="00000000" w:rsidRPr="00000000" w14:paraId="0000000E">
      <w:pPr>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Satisfacción del cliente:</w:t>
      </w:r>
      <w:r w:rsidDel="00000000" w:rsidR="00000000" w:rsidRPr="00000000">
        <w:rPr>
          <w:rFonts w:ascii="Arial" w:cs="Arial" w:eastAsia="Arial" w:hAnsi="Arial"/>
          <w:sz w:val="22"/>
          <w:szCs w:val="22"/>
          <w:vertAlign w:val="baseline"/>
          <w:rtl w:val="0"/>
        </w:rPr>
        <w:t xml:space="preserve"> percepción del cliente sobre el grado en que se han cumplido las expectativas de los clientes.</w:t>
      </w:r>
    </w:p>
    <w:p w:rsidR="00000000" w:rsidDel="00000000" w:rsidP="00000000" w:rsidRDefault="00000000" w:rsidRPr="00000000" w14:paraId="0000000F">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0">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5. RESPONSABILIDADES</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Dirección/Responsable Técnico</w:t>
      </w:r>
    </w:p>
    <w:p w:rsidR="00000000" w:rsidDel="00000000" w:rsidP="00000000" w:rsidRDefault="00000000" w:rsidRPr="00000000" w14:paraId="00000012">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Brinda los recursos para asegurar un adecuado tratamiento de las quejas y apelaciones como también para medir la satisfacción de los clientes.</w:t>
      </w:r>
    </w:p>
    <w:p w:rsidR="00000000" w:rsidDel="00000000" w:rsidP="00000000" w:rsidRDefault="00000000" w:rsidRPr="00000000" w14:paraId="0000001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Es el responsable máximo del proceso de tratamiento de quejas y apelaciones y de las decisiones resultantes que se tomen.</w:t>
      </w:r>
    </w:p>
    <w:p w:rsidR="00000000" w:rsidDel="00000000" w:rsidP="00000000" w:rsidRDefault="00000000" w:rsidRPr="00000000" w14:paraId="0000001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Hacer cumplir este procedimiento.</w:t>
      </w:r>
    </w:p>
    <w:p w:rsidR="00000000" w:rsidDel="00000000" w:rsidP="00000000" w:rsidRDefault="00000000" w:rsidRPr="00000000" w14:paraId="00000015">
      <w:pPr>
        <w:jc w:val="both"/>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Responsable de Administración:</w:t>
      </w:r>
      <w:r w:rsidDel="00000000" w:rsidR="00000000" w:rsidRPr="00000000">
        <w:rPr>
          <w:rtl w:val="0"/>
        </w:rPr>
      </w:r>
    </w:p>
    <w:p w:rsidR="00000000" w:rsidDel="00000000" w:rsidP="00000000" w:rsidRDefault="00000000" w:rsidRPr="00000000" w14:paraId="0000001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Recibe las quejas y apelaciones.</w:t>
      </w:r>
    </w:p>
    <w:p w:rsidR="00000000" w:rsidDel="00000000" w:rsidP="00000000" w:rsidRDefault="00000000" w:rsidRPr="00000000" w14:paraId="00000017">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Administra la comunicación con el cliente respecto a las quejas y apelaciones.</w:t>
      </w:r>
    </w:p>
    <w:p w:rsidR="00000000" w:rsidDel="00000000" w:rsidP="00000000" w:rsidRDefault="00000000" w:rsidRPr="00000000" w14:paraId="00000018">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Revisa y aprueba el tratamiento de las quejas y apelaciones.</w:t>
      </w:r>
    </w:p>
    <w:p w:rsidR="00000000" w:rsidDel="00000000" w:rsidP="00000000" w:rsidRDefault="00000000" w:rsidRPr="00000000" w14:paraId="00000019">
      <w:pPr>
        <w:jc w:val="both"/>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Jefe de Operaciones/Inspector Evaluador:</w:t>
      </w:r>
      <w:r w:rsidDel="00000000" w:rsidR="00000000" w:rsidRPr="00000000">
        <w:rPr>
          <w:rtl w:val="0"/>
        </w:rPr>
      </w:r>
    </w:p>
    <w:p w:rsidR="00000000" w:rsidDel="00000000" w:rsidP="00000000" w:rsidRDefault="00000000" w:rsidRPr="00000000" w14:paraId="0000001A">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t>
        <w:tab/>
        <w:t xml:space="preserve">Participa en la investigación y las acciones relacionadas a las quejas y apelaciones validadas.</w:t>
      </w:r>
    </w:p>
    <w:p w:rsidR="00000000" w:rsidDel="00000000" w:rsidP="00000000" w:rsidRDefault="00000000" w:rsidRPr="00000000" w14:paraId="0000001B">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C">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6. DESARROLLO</w:t>
      </w:r>
      <w:r w:rsidDel="00000000" w:rsidR="00000000" w:rsidRPr="00000000">
        <w:rPr>
          <w:rtl w:val="0"/>
        </w:rPr>
      </w:r>
    </w:p>
    <w:p w:rsidR="00000000" w:rsidDel="00000000" w:rsidP="00000000" w:rsidRDefault="00000000" w:rsidRPr="00000000" w14:paraId="0000001D">
      <w:pP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6.1</w:t>
        <w:tab/>
        <w:t xml:space="preserve">Satisfacción del cliente</w:t>
      </w:r>
      <w:r w:rsidDel="00000000" w:rsidR="00000000" w:rsidRPr="00000000">
        <w:rPr>
          <w:rtl w:val="0"/>
        </w:rPr>
      </w:r>
    </w:p>
    <w:p w:rsidR="00000000" w:rsidDel="00000000" w:rsidP="00000000" w:rsidRDefault="00000000" w:rsidRPr="00000000" w14:paraId="0000001E">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La empresa realiza de manera periódica una medición de la percepción del cliente respecto al servicio brindado. Esta medición se realiza con la herramienta de encuestas y el formulario empleado es la “Encuesta de Satisfacción del Cliente” POOP03-R1. </w:t>
      </w:r>
    </w:p>
    <w:p w:rsidR="00000000" w:rsidDel="00000000" w:rsidP="00000000" w:rsidRDefault="00000000" w:rsidRPr="00000000" w14:paraId="0000001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 una periodicidad anual el Responsable de administración envía por correo electrónico al representante del cliente que ha tenido continuidad en la contratación de nuestros servicios en el transcurso del año, el formulario “Encuesta de satisfacción del cliente” para que lo complete y lo reenvía a la empresa. El seguimiento de este relevamiento será efectuado por el Responsable de administración. A los efectos de un análisis estadístico se consideran para las diferentes apreciaciones los siguientes puntajes:</w:t>
      </w:r>
    </w:p>
    <w:p w:rsidR="00000000" w:rsidDel="00000000" w:rsidP="00000000" w:rsidRDefault="00000000" w:rsidRPr="00000000" w14:paraId="00000020">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Excelente/Muy Bueno: 10 puntos</w:t>
      </w:r>
    </w:p>
    <w:p w:rsidR="00000000" w:rsidDel="00000000" w:rsidP="00000000" w:rsidRDefault="00000000" w:rsidRPr="00000000" w14:paraId="0000002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Bueno: 7 puntos</w:t>
      </w:r>
    </w:p>
    <w:p w:rsidR="00000000" w:rsidDel="00000000" w:rsidP="00000000" w:rsidRDefault="00000000" w:rsidRPr="00000000" w14:paraId="0000002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Mal: 3 puntos</w:t>
      </w:r>
    </w:p>
    <w:p w:rsidR="00000000" w:rsidDel="00000000" w:rsidP="00000000" w:rsidRDefault="00000000" w:rsidRPr="00000000" w14:paraId="00000024">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La información recolectada a través de esta herramienta le servirá a la Dirección para la toma de decisiones respecto a los servicios realizados y la mejora de los mismos.</w:t>
      </w:r>
    </w:p>
    <w:p w:rsidR="00000000" w:rsidDel="00000000" w:rsidP="00000000" w:rsidRDefault="00000000" w:rsidRPr="00000000" w14:paraId="00000026">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7">
      <w:pP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6.2</w:t>
        <w:tab/>
        <w:t xml:space="preserve">Quejas y apelaciones</w:t>
      </w:r>
      <w:r w:rsidDel="00000000" w:rsidR="00000000" w:rsidRPr="00000000">
        <w:rPr>
          <w:rtl w:val="0"/>
        </w:rPr>
      </w:r>
    </w:p>
    <w:p w:rsidR="00000000" w:rsidDel="00000000" w:rsidP="00000000" w:rsidRDefault="00000000" w:rsidRPr="00000000" w14:paraId="00000028">
      <w:pPr>
        <w:jc w:val="both"/>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6.2.1</w:t>
        <w:tab/>
        <w:t xml:space="preserve">Recepción y validación de la queja o apelación</w:t>
      </w:r>
      <w:r w:rsidDel="00000000" w:rsidR="00000000" w:rsidRPr="00000000">
        <w:rPr>
          <w:rtl w:val="0"/>
        </w:rPr>
      </w:r>
    </w:p>
    <w:p w:rsidR="00000000" w:rsidDel="00000000" w:rsidP="00000000" w:rsidRDefault="00000000" w:rsidRPr="00000000" w14:paraId="00000029">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Las quejas y apelaciones serán recibidas a través de correo electrónico dirigido a la casilla  </w:t>
      </w:r>
      <w:hyperlink r:id="rId7">
        <w:r w:rsidDel="00000000" w:rsidR="00000000" w:rsidRPr="00000000">
          <w:rPr>
            <w:rFonts w:ascii="Arial" w:cs="Arial" w:eastAsia="Arial" w:hAnsi="Arial"/>
            <w:color w:val="0000ff"/>
            <w:sz w:val="22"/>
            <w:szCs w:val="22"/>
            <w:u w:val="single"/>
            <w:vertAlign w:val="baseline"/>
            <w:rtl w:val="0"/>
          </w:rPr>
          <w:t xml:space="preserve">insetec.nqn@gmail.com</w:t>
        </w:r>
      </w:hyperlink>
      <w:r w:rsidDel="00000000" w:rsidR="00000000" w:rsidRPr="00000000">
        <w:rPr>
          <w:rFonts w:ascii="Arial" w:cs="Arial" w:eastAsia="Arial" w:hAnsi="Arial"/>
          <w:sz w:val="22"/>
          <w:szCs w:val="22"/>
          <w:rtl w:val="0"/>
        </w:rPr>
        <w:t xml:space="preserve"> </w:t>
      </w:r>
      <w:r w:rsidDel="00000000" w:rsidR="00000000" w:rsidRPr="00000000">
        <w:rPr>
          <w:i w:val="1"/>
          <w:sz w:val="22"/>
          <w:szCs w:val="22"/>
          <w:rtl w:val="0"/>
        </w:rPr>
        <w:t xml:space="preserve">como también a través de la ficha de “Contacto” en la página web de la empresa </w:t>
      </w:r>
      <w:hyperlink r:id="rId8">
        <w:r w:rsidDel="00000000" w:rsidR="00000000" w:rsidRPr="00000000">
          <w:rPr>
            <w:i w:val="1"/>
            <w:color w:val="1155cc"/>
            <w:sz w:val="22"/>
            <w:szCs w:val="22"/>
            <w:u w:val="single"/>
            <w:rtl w:val="0"/>
          </w:rPr>
          <w:t xml:space="preserve">www.insetec-srl.com.ar</w:t>
        </w:r>
      </w:hyperlink>
      <w:r w:rsidDel="00000000" w:rsidR="00000000" w:rsidRPr="00000000">
        <w:rPr>
          <w:i w:val="1"/>
          <w:sz w:val="22"/>
          <w:szCs w:val="22"/>
          <w:rtl w:val="0"/>
        </w:rPr>
        <w:t xml:space="preserve"> . El cliente deberá, en la ficha de contacto, seleccionar la opción “Queja” o “Apelación” para que esta queja o apelación que presenta al organismo sea tratada de acuerdo a lo indicado en este procedimiento. Tanto el correo electrónico para quejas y apelaciones como la ficha de contacto de la página web son</w:t>
      </w:r>
      <w:r w:rsidDel="00000000" w:rsidR="00000000" w:rsidRPr="00000000">
        <w:rPr>
          <w:rFonts w:ascii="Arial" w:cs="Arial" w:eastAsia="Arial" w:hAnsi="Arial"/>
          <w:sz w:val="22"/>
          <w:szCs w:val="22"/>
          <w:vertAlign w:val="baseline"/>
          <w:rtl w:val="0"/>
        </w:rPr>
        <w:t xml:space="preserve"> administradas por el Responsable de administración quien una vez recibida la queja o apelación le responderá al cliente que se ha recibido la misma y que va a comenzar su análisis de validación y evaluación. Luego de enviar el acuse de recibo informará y reenviará dicho correo electrónico al Responsable Técnico para que este analice la queja o apelación sobre la pertinencia, validez y si la misma se encuentra relacionada con las actividades de inspección que la empresa realiza. </w:t>
      </w:r>
    </w:p>
    <w:p w:rsidR="00000000" w:rsidDel="00000000" w:rsidP="00000000" w:rsidRDefault="00000000" w:rsidRPr="00000000" w14:paraId="0000002A">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los efectos de efectuar una correcta validación de la queja o apelación el Responsable Técnico se pondrá en contacto con el inspector a cargo del servicio, la documentación de dicho servicio y se comunicará con el cliente para poder tener una información completa de la situación de queja o apelación planteada.</w:t>
      </w:r>
    </w:p>
    <w:p w:rsidR="00000000" w:rsidDel="00000000" w:rsidP="00000000" w:rsidRDefault="00000000" w:rsidRPr="00000000" w14:paraId="0000002B">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 la queja o apelación es validada por el Responsable Técnico esta es registrada en la planilla “Seguimiento de quejas y apelaciones” código POOP03-R1 para su posterior tratamiento. En el caso que no existan razones técnicas y evidencias concretas para establecer la existencia de una queja o apelación ésta se desestimará y se registrará en la planilla “Seguimiento de quejas y apelaciones” como “No validada” en el campo correspondiente y finalizará su tratamiento.</w:t>
      </w:r>
    </w:p>
    <w:p w:rsidR="00000000" w:rsidDel="00000000" w:rsidP="00000000" w:rsidRDefault="00000000" w:rsidRPr="00000000" w14:paraId="0000002C">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En ambos casos se informará al cliente sobre esta decisión tomada a través del correo electrónico.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Estará disponible la metodología de tratamiento de quejas y apelaciones en la página web de la empresa para el cliente u otra parte interesada que requiera consultarla.</w:t>
      </w:r>
      <w:r w:rsidDel="00000000" w:rsidR="00000000" w:rsidRPr="00000000">
        <w:rPr>
          <w:rtl w:val="0"/>
        </w:rPr>
      </w:r>
    </w:p>
    <w:p w:rsidR="00000000" w:rsidDel="00000000" w:rsidP="00000000" w:rsidRDefault="00000000" w:rsidRPr="00000000" w14:paraId="0000002E">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F">
      <w:pPr>
        <w:jc w:val="both"/>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6.2.2</w:t>
        <w:tab/>
        <w:t xml:space="preserve">Investigación y acciones correctivas </w:t>
      </w:r>
      <w:r w:rsidDel="00000000" w:rsidR="00000000" w:rsidRPr="00000000">
        <w:rPr>
          <w:rtl w:val="0"/>
        </w:rPr>
      </w:r>
    </w:p>
    <w:p w:rsidR="00000000" w:rsidDel="00000000" w:rsidP="00000000" w:rsidRDefault="00000000" w:rsidRPr="00000000" w14:paraId="00000030">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En el caso que la queja o apelación resultara pertinente y válida se debe realizar el correspondiente análisis de causas a los efectos de poder detectar la o las causas raíz de la queja o apelación.</w:t>
      </w:r>
    </w:p>
    <w:p w:rsidR="00000000" w:rsidDel="00000000" w:rsidP="00000000" w:rsidRDefault="00000000" w:rsidRPr="00000000" w14:paraId="0000003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Para efectuar el análisis de causas, la empresa puede utilizar cualquiera de las herramientas de análisis por ejemplo “5 Por Qué”, “Diagrama Causa Efecto”, “5 M – Espina de Pescado”, “Árbol de Causas”, etc. </w:t>
      </w:r>
    </w:p>
    <w:p w:rsidR="00000000" w:rsidDel="00000000" w:rsidP="00000000" w:rsidRDefault="00000000" w:rsidRPr="00000000" w14:paraId="0000003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Frente al primer análisis de causas el Responsable Técnico junto con la o las personas que él requiera para realizar este análisis, va a comenzar el análisis con la herramienta de los "5 Por Qué", si dicho tratamiento requiere profundizarse deberá emplear otra herramienta hasta llegar a la o las causas raíces de dicha queja o apelación. Este análisis de causas será registrado en la planilla “Seguimiento de quejas y apelaciones”.</w:t>
      </w:r>
    </w:p>
    <w:p w:rsidR="00000000" w:rsidDel="00000000" w:rsidP="00000000" w:rsidRDefault="00000000" w:rsidRPr="00000000" w14:paraId="00000033">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Identificadas la o las causas de la queja o apelación se procederán a determinar las acciones correctivas para evitar que vuelvan a ocurrir. Todas las acciones correctivas deberán tener un responsable y un plazo de implementación registrándose toda esta información en la planilla de seguimiento de apelaciones y quejas.</w:t>
      </w:r>
    </w:p>
    <w:p w:rsidR="00000000" w:rsidDel="00000000" w:rsidP="00000000" w:rsidRDefault="00000000" w:rsidRPr="00000000" w14:paraId="00000034">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Tanto la investigación de las causas como las acciones correctivas, no deben dar como resultado acciones discriminatorias respecto al personal involucrado en la queja o apelación bajo análisis. </w:t>
      </w:r>
    </w:p>
    <w:p w:rsidR="00000000" w:rsidDel="00000000" w:rsidP="00000000" w:rsidRDefault="00000000" w:rsidRPr="00000000" w14:paraId="00000035">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 Responsable de Administración junto con el Responsable Técnico verificarán la implementación de las acciones correctivas y si fueron apropiadas.</w:t>
      </w:r>
    </w:p>
    <w:p w:rsidR="00000000" w:rsidDel="00000000" w:rsidP="00000000" w:rsidRDefault="00000000" w:rsidRPr="00000000" w14:paraId="00000036">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7">
      <w:pPr>
        <w:jc w:val="both"/>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6.2.3</w:t>
        <w:tab/>
        <w:t xml:space="preserve">Revisión, aprobación y comunicación de la queja o apelación </w:t>
      </w:r>
      <w:r w:rsidDel="00000000" w:rsidR="00000000" w:rsidRPr="00000000">
        <w:rPr>
          <w:rtl w:val="0"/>
        </w:rPr>
      </w:r>
    </w:p>
    <w:p w:rsidR="00000000" w:rsidDel="00000000" w:rsidP="00000000" w:rsidRDefault="00000000" w:rsidRPr="00000000" w14:paraId="00000038">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 Responsable de Administración u otra persona que no haya participado en las actividades de inspección que dieron origen a la queja o apelación, realizará la revisión del tratamiento de la queja o apelación y definirá si ha sido satisfactorio o no, registrándolo en la planilla de seguimiento de quejas y apelaciones.</w:t>
      </w:r>
    </w:p>
    <w:p w:rsidR="00000000" w:rsidDel="00000000" w:rsidP="00000000" w:rsidRDefault="00000000" w:rsidRPr="00000000" w14:paraId="00000039">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Finalizado y revisado el tratamiento se comunicará a través del correo electrónico, dicha finalización y  los resultados del tratamiento de la queja o apelación a quién la presentó. Esta actividad la llevará adelante el Responsable de Administración o el Responsable Técnico.</w:t>
      </w:r>
    </w:p>
    <w:p w:rsidR="00000000" w:rsidDel="00000000" w:rsidP="00000000" w:rsidRDefault="00000000" w:rsidRPr="00000000" w14:paraId="0000003A">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Siempre que el cliente lo solicite se le informará sobre los avances del tratamiento de las quejas y apelaciones, esta comunicación la mantendrá el Responsable de Administración.</w:t>
      </w:r>
    </w:p>
    <w:p w:rsidR="00000000" w:rsidDel="00000000" w:rsidP="00000000" w:rsidRDefault="00000000" w:rsidRPr="00000000" w14:paraId="0000003B">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C">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7. CONTROL DE REGISTROS</w:t>
      </w:r>
      <w:r w:rsidDel="00000000" w:rsidR="00000000" w:rsidRPr="00000000">
        <w:rPr>
          <w:rtl w:val="0"/>
        </w:rPr>
      </w:r>
    </w:p>
    <w:tbl>
      <w:tblPr>
        <w:tblStyle w:val="Table1"/>
        <w:tblW w:w="1035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530"/>
        <w:gridCol w:w="1275"/>
        <w:gridCol w:w="1140"/>
        <w:gridCol w:w="1050"/>
        <w:gridCol w:w="855"/>
        <w:gridCol w:w="1500"/>
        <w:tblGridChange w:id="0">
          <w:tblGrid>
            <w:gridCol w:w="4530"/>
            <w:gridCol w:w="1275"/>
            <w:gridCol w:w="1140"/>
            <w:gridCol w:w="1050"/>
            <w:gridCol w:w="855"/>
            <w:gridCol w:w="1500"/>
          </w:tblGrid>
        </w:tblGridChange>
      </w:tblGrid>
      <w:tr>
        <w:trPr>
          <w:cantSplit w:val="1"/>
          <w:trHeight w:val="312" w:hRule="atLeast"/>
          <w:tblHeader w:val="0"/>
        </w:trPr>
        <w:tc>
          <w:tcPr>
            <w:vMerge w:val="restart"/>
            <w:vAlign w:val="center"/>
          </w:tcPr>
          <w:p w:rsidR="00000000" w:rsidDel="00000000" w:rsidP="00000000" w:rsidRDefault="00000000" w:rsidRPr="00000000" w14:paraId="0000003D">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Nombre del Registro</w:t>
            </w:r>
          </w:p>
        </w:tc>
        <w:tc>
          <w:tcPr>
            <w:vMerge w:val="restart"/>
            <w:vAlign w:val="center"/>
          </w:tcPr>
          <w:p w:rsidR="00000000" w:rsidDel="00000000" w:rsidP="00000000" w:rsidRDefault="00000000" w:rsidRPr="00000000" w14:paraId="0000003E">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Código</w:t>
            </w:r>
          </w:p>
        </w:tc>
        <w:tc>
          <w:tcPr>
            <w:gridSpan w:val="4"/>
            <w:vAlign w:val="top"/>
          </w:tcPr>
          <w:p w:rsidR="00000000" w:rsidDel="00000000" w:rsidP="00000000" w:rsidRDefault="00000000" w:rsidRPr="00000000" w14:paraId="0000003F">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460" w:right="0" w:hanging="46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Retención</w:t>
            </w:r>
          </w:p>
        </w:tc>
      </w:tr>
      <w:tr>
        <w:trPr>
          <w:cantSplit w:val="1"/>
          <w:trHeight w:val="351" w:hRule="atLeast"/>
          <w:tblHeader w:val="0"/>
        </w:trPr>
        <w:tc>
          <w:tcPr>
            <w:vMerge w:val="continue"/>
            <w:vAlign w:val="center"/>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45">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460" w:right="0" w:hanging="46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Medio</w:t>
            </w:r>
          </w:p>
        </w:tc>
        <w:tc>
          <w:tcPr>
            <w:vAlign w:val="center"/>
          </w:tcPr>
          <w:p w:rsidR="00000000" w:rsidDel="00000000" w:rsidP="00000000" w:rsidRDefault="00000000" w:rsidRPr="00000000" w14:paraId="00000046">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460" w:right="0" w:hanging="46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Tiempo</w:t>
            </w:r>
          </w:p>
        </w:tc>
        <w:tc>
          <w:tcPr>
            <w:vAlign w:val="top"/>
          </w:tcPr>
          <w:p w:rsidR="00000000" w:rsidDel="00000000" w:rsidP="00000000" w:rsidRDefault="00000000" w:rsidRPr="00000000" w14:paraId="00000047">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Lugar </w:t>
            </w:r>
          </w:p>
        </w:tc>
        <w:tc>
          <w:tcPr>
            <w:vAlign w:val="center"/>
          </w:tcPr>
          <w:p w:rsidR="00000000" w:rsidDel="00000000" w:rsidP="00000000" w:rsidRDefault="00000000" w:rsidRPr="00000000" w14:paraId="00000048">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460" w:right="0" w:hanging="46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Disposición</w:t>
            </w:r>
          </w:p>
        </w:tc>
      </w:tr>
      <w:tr>
        <w:trPr>
          <w:cantSplit w:val="0"/>
          <w:trHeight w:val="267" w:hRule="atLeast"/>
          <w:tblHeader w:val="0"/>
        </w:trPr>
        <w:tc>
          <w:tcPr>
            <w:vAlign w:val="center"/>
          </w:tcPr>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Encuesta de satisfacción del cliente</w:t>
            </w:r>
          </w:p>
        </w:tc>
        <w:tc>
          <w:tcPr>
            <w:vAlign w:val="center"/>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POOP03-R1</w:t>
            </w:r>
          </w:p>
        </w:tc>
        <w:tc>
          <w:tcPr>
            <w:vAlign w:val="center"/>
          </w:tcPr>
          <w:p w:rsidR="00000000" w:rsidDel="00000000" w:rsidP="00000000" w:rsidRDefault="00000000" w:rsidRPr="00000000" w14:paraId="0000004B">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Electrónico</w:t>
            </w:r>
          </w:p>
        </w:tc>
        <w:tc>
          <w:tcPr>
            <w:vAlign w:val="center"/>
          </w:tcPr>
          <w:p w:rsidR="00000000" w:rsidDel="00000000" w:rsidP="00000000" w:rsidRDefault="00000000" w:rsidRPr="00000000" w14:paraId="0000004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Indefinido</w:t>
            </w:r>
          </w:p>
        </w:tc>
        <w:tc>
          <w:tcPr>
            <w:vAlign w:val="center"/>
          </w:tcPr>
          <w:p w:rsidR="00000000" w:rsidDel="00000000" w:rsidP="00000000" w:rsidRDefault="00000000" w:rsidRPr="00000000" w14:paraId="0000004D">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Drive</w:t>
            </w:r>
          </w:p>
        </w:tc>
        <w:tc>
          <w:tcPr>
            <w:vAlign w:val="center"/>
          </w:tcPr>
          <w:p w:rsidR="00000000" w:rsidDel="00000000" w:rsidP="00000000" w:rsidRDefault="00000000" w:rsidRPr="00000000" w14:paraId="0000004E">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Archivo</w:t>
            </w:r>
          </w:p>
        </w:tc>
      </w:tr>
      <w:tr>
        <w:trPr>
          <w:cantSplit w:val="0"/>
          <w:trHeight w:val="267" w:hRule="atLeast"/>
          <w:tblHeader w:val="0"/>
        </w:trPr>
        <w:tc>
          <w:tcPr>
            <w:vAlign w:val="center"/>
          </w:tcPr>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Seguimiento de Quejas y Apelaciones</w:t>
            </w:r>
          </w:p>
        </w:tc>
        <w:tc>
          <w:tcPr>
            <w:vAlign w:val="center"/>
          </w:tcPr>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POOP03-R2</w:t>
            </w:r>
          </w:p>
        </w:tc>
        <w:tc>
          <w:tcPr>
            <w:vAlign w:val="center"/>
          </w:tcPr>
          <w:p w:rsidR="00000000" w:rsidDel="00000000" w:rsidP="00000000" w:rsidRDefault="00000000" w:rsidRPr="00000000" w14:paraId="00000051">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Electrónico</w:t>
            </w:r>
          </w:p>
        </w:tc>
        <w:tc>
          <w:tcPr>
            <w:vAlign w:val="center"/>
          </w:tcPr>
          <w:p w:rsidR="00000000" w:rsidDel="00000000" w:rsidP="00000000" w:rsidRDefault="00000000" w:rsidRPr="00000000" w14:paraId="00000052">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Indefinido</w:t>
            </w:r>
          </w:p>
        </w:tc>
        <w:tc>
          <w:tcPr>
            <w:vAlign w:val="center"/>
          </w:tcPr>
          <w:p w:rsidR="00000000" w:rsidDel="00000000" w:rsidP="00000000" w:rsidRDefault="00000000" w:rsidRPr="00000000" w14:paraId="00000053">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Drive</w:t>
            </w:r>
          </w:p>
        </w:tc>
        <w:tc>
          <w:tcPr>
            <w:vAlign w:val="center"/>
          </w:tcPr>
          <w:p w:rsidR="00000000" w:rsidDel="00000000" w:rsidP="00000000" w:rsidRDefault="00000000" w:rsidRPr="00000000" w14:paraId="0000005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Archivo</w:t>
            </w:r>
          </w:p>
        </w:tc>
      </w:tr>
    </w:tbl>
    <w:p w:rsidR="00000000" w:rsidDel="00000000" w:rsidP="00000000" w:rsidRDefault="00000000" w:rsidRPr="00000000" w14:paraId="00000055">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56">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8. CONTROL DE MODIFICACIONES</w:t>
      </w:r>
      <w:r w:rsidDel="00000000" w:rsidR="00000000" w:rsidRPr="00000000">
        <w:rPr>
          <w:rtl w:val="0"/>
        </w:rPr>
      </w:r>
    </w:p>
    <w:tbl>
      <w:tblPr>
        <w:tblStyle w:val="Table2"/>
        <w:tblW w:w="10350.0" w:type="dxa"/>
        <w:jc w:val="left"/>
        <w:tblBorders>
          <w:top w:color="ff0000" w:space="0" w:sz="4" w:val="single"/>
          <w:left w:color="ff0000" w:space="0" w:sz="4" w:val="single"/>
          <w:bottom w:color="ff0000" w:space="0" w:sz="4" w:val="single"/>
          <w:right w:color="ff0000" w:space="0" w:sz="4" w:val="single"/>
          <w:insideH w:color="ff0000" w:space="0" w:sz="4" w:val="single"/>
          <w:insideV w:color="ff0000" w:space="0" w:sz="4" w:val="single"/>
        </w:tblBorders>
        <w:tblLayout w:type="fixed"/>
        <w:tblLook w:val="0000"/>
      </w:tblPr>
      <w:tblGrid>
        <w:gridCol w:w="690"/>
        <w:gridCol w:w="5235"/>
        <w:gridCol w:w="1140"/>
        <w:gridCol w:w="1155"/>
        <w:gridCol w:w="945"/>
        <w:gridCol w:w="1185"/>
        <w:tblGridChange w:id="0">
          <w:tblGrid>
            <w:gridCol w:w="690"/>
            <w:gridCol w:w="5235"/>
            <w:gridCol w:w="1140"/>
            <w:gridCol w:w="1155"/>
            <w:gridCol w:w="945"/>
            <w:gridCol w:w="1185"/>
          </w:tblGrid>
        </w:tblGridChange>
      </w:tblGrid>
      <w:tr>
        <w:trPr>
          <w:cantSplit w:val="1"/>
          <w:trHeight w:val="315" w:hRule="atLeast"/>
          <w:tblHeader w:val="0"/>
        </w:trPr>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rHeight w:val="30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02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Se incorpora nueva metodología de recepción de la queja o apelación a través de web del organismo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22/07/24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CAP</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PC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RC</w:t>
            </w:r>
            <w:r w:rsidDel="00000000" w:rsidR="00000000" w:rsidRPr="00000000">
              <w:rPr>
                <w:rtl w:val="0"/>
              </w:rPr>
            </w:r>
          </w:p>
        </w:tc>
      </w:tr>
      <w:tr>
        <w:trPr>
          <w:cantSplit w:val="1"/>
          <w:trHeight w:val="30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3">
            <w:pPr>
              <w:widowControl w:val="0"/>
              <w:tabs>
                <w:tab w:val="left" w:leader="none" w:pos="709"/>
              </w:tabs>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01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4">
            <w:pPr>
              <w:widowControl w:val="0"/>
              <w:tabs>
                <w:tab w:val="left" w:leader="none" w:pos="709"/>
              </w:tabs>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Incorporación de procedimiento en página de internet. Corrección de puesto de trabajo</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5">
            <w:pPr>
              <w:widowControl w:val="0"/>
              <w:tabs>
                <w:tab w:val="left" w:leader="none" w:pos="709"/>
              </w:tabs>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14/07/23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6">
            <w:pPr>
              <w:widowControl w:val="0"/>
              <w:tabs>
                <w:tab w:val="left" w:leader="none" w:pos="709"/>
              </w:tabs>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CAP</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7">
            <w:pPr>
              <w:widowControl w:val="0"/>
              <w:tabs>
                <w:tab w:val="left" w:leader="none" w:pos="709"/>
              </w:tabs>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PC</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8">
            <w:pPr>
              <w:widowControl w:val="0"/>
              <w:tabs>
                <w:tab w:val="left" w:leader="none" w:pos="709"/>
              </w:tabs>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RC</w:t>
            </w:r>
          </w:p>
        </w:tc>
      </w:tr>
      <w:tr>
        <w:trPr>
          <w:cantSplit w:val="1"/>
          <w:trHeight w:val="30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00</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 distribución.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24/11/20</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CAP</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PC</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RC</w:t>
            </w:r>
          </w:p>
        </w:tc>
      </w:tr>
      <w:tr>
        <w:trPr>
          <w:cantSplit w:val="1"/>
          <w:trHeight w:val="56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Descripción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Fecha</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Elabora</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Revisa</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Aprueba</w:t>
            </w:r>
          </w:p>
        </w:tc>
      </w:tr>
    </w:tbl>
    <w:p w:rsidR="00000000" w:rsidDel="00000000" w:rsidP="00000000" w:rsidRDefault="00000000" w:rsidRPr="00000000" w14:paraId="00000075">
      <w:pPr>
        <w:jc w:val="both"/>
        <w:rPr>
          <w:rFonts w:ascii="Arial" w:cs="Arial" w:eastAsia="Arial" w:hAnsi="Arial"/>
          <w:i w:val="0"/>
          <w:vertAlign w:val="baseline"/>
        </w:rPr>
      </w:pPr>
      <w:r w:rsidDel="00000000" w:rsidR="00000000" w:rsidRPr="00000000">
        <w:rPr>
          <w:rtl w:val="0"/>
        </w:rPr>
      </w:r>
    </w:p>
    <w:sectPr>
      <w:headerReference r:id="rId9" w:type="default"/>
      <w:headerReference r:id="rId10" w:type="first"/>
      <w:headerReference r:id="rId11" w:type="even"/>
      <w:footerReference r:id="rId12" w:type="default"/>
      <w:pgSz w:h="16839" w:w="11907" w:orient="portrait"/>
      <w:pgMar w:bottom="709" w:top="709" w:left="1134" w:right="758" w:header="568" w:footer="11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Georgia"/>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84">
    <w:pPr>
      <w:keepNext w:val="0"/>
      <w:keepLines w:val="0"/>
      <w:widowControl w:val="0"/>
      <w:pBdr>
        <w:top w:color="000000" w:space="1" w:sz="4" w:val="single"/>
        <w:left w:color="000000" w:space="1" w:sz="4" w:val="single"/>
        <w:bottom w:color="000000" w:space="1" w:sz="4" w:val="single"/>
        <w:right w:color="000000" w:space="4" w:sz="4" w:val="single"/>
        <w:between w:space="0" w:sz="0" w:val="nil"/>
      </w:pBdr>
      <w:shd w:fill="auto" w:val="clear"/>
      <w:tabs>
        <w:tab w:val="left" w:leader="none" w:pos="709"/>
      </w:tabs>
      <w:spacing w:after="0" w:before="0" w:line="240" w:lineRule="auto"/>
      <w:ind w:left="0" w:right="0" w:firstLine="0"/>
      <w:jc w:val="center"/>
      <w:rPr>
        <w:rFonts w:ascii="Arial" w:cs="Arial" w:eastAsia="Arial" w:hAnsi="Arial"/>
        <w:b w:val="1"/>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LA REPRODUCCION PARCIAL O TOTAL DEL PRESENTE DOCUMENTO, SERÁ SOLO A TÍTULO INFORMATIVO SI CARECE DEL SELLO QUE ACREDITE LA CONDICIÓN DE ORIGINAL O COPIA CONTROLADA.</w:t>
    </w:r>
    <w:r w:rsidDel="00000000" w:rsidR="00000000" w:rsidRPr="00000000">
      <w:drawing>
        <wp:anchor allowOverlap="1" behindDoc="1" distB="0" distT="0" distL="0" distR="0" hidden="0" layoutInCell="1" locked="0" relativeHeight="0" simplePos="0">
          <wp:simplePos x="0" y="0"/>
          <wp:positionH relativeFrom="column">
            <wp:posOffset>3180080</wp:posOffset>
          </wp:positionH>
          <wp:positionV relativeFrom="paragraph">
            <wp:posOffset>8951595</wp:posOffset>
          </wp:positionV>
          <wp:extent cx="7760335" cy="635000"/>
          <wp:effectExtent b="0" l="0" r="0" t="0"/>
          <wp:wrapNone/>
          <wp:docPr id="103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60335" cy="635000"/>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-203832</wp:posOffset>
          </wp:positionH>
          <wp:positionV relativeFrom="paragraph">
            <wp:posOffset>9975850</wp:posOffset>
          </wp:positionV>
          <wp:extent cx="7760335" cy="635635"/>
          <wp:effectExtent b="0" l="0" r="0" t="0"/>
          <wp:wrapNone/>
          <wp:docPr id="103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60335" cy="63563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-203832</wp:posOffset>
          </wp:positionH>
          <wp:positionV relativeFrom="paragraph">
            <wp:posOffset>9975850</wp:posOffset>
          </wp:positionV>
          <wp:extent cx="7760335" cy="635635"/>
          <wp:effectExtent b="0" l="0" r="0" t="0"/>
          <wp:wrapNone/>
          <wp:docPr id="103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60335" cy="63563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-203832</wp:posOffset>
          </wp:positionH>
          <wp:positionV relativeFrom="paragraph">
            <wp:posOffset>9975850</wp:posOffset>
          </wp:positionV>
          <wp:extent cx="7760335" cy="635635"/>
          <wp:effectExtent b="0" l="0" r="0" t="0"/>
          <wp:wrapNone/>
          <wp:docPr id="103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760335" cy="63563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bl>
    <w:tblPr>
      <w:tblStyle w:val="Table3"/>
      <w:tblpPr w:leftFromText="141" w:rightFromText="141" w:topFromText="0" w:bottomFromText="0" w:vertAnchor="margin" w:horzAnchor="margin" w:tblpXSpec="center" w:tblpY="0"/>
      <w:tblW w:w="10275.0" w:type="dxa"/>
      <w:jc w:val="left"/>
      <w:tblInd w:w="-108.0" w:type="dxa"/>
      <w:tblBorders>
        <w:top w:color="000000" w:space="0" w:sz="0" w:val="nil"/>
        <w:left w:color="006600" w:space="0" w:sz="4" w:val="single"/>
        <w:bottom w:color="006600" w:space="0" w:sz="4" w:val="single"/>
        <w:right w:color="006600" w:space="0" w:sz="4" w:val="single"/>
        <w:insideH w:color="006600" w:space="0" w:sz="4" w:val="single"/>
        <w:insideV w:color="006600" w:space="0" w:sz="4" w:val="single"/>
      </w:tblBorders>
      <w:tblLayout w:type="fixed"/>
      <w:tblLook w:val="0000"/>
    </w:tblPr>
    <w:tblGrid>
      <w:gridCol w:w="3020"/>
      <w:gridCol w:w="5310"/>
      <w:gridCol w:w="1945"/>
      <w:tblGridChange w:id="0">
        <w:tblGrid>
          <w:gridCol w:w="3020"/>
          <w:gridCol w:w="5310"/>
          <w:gridCol w:w="1945"/>
        </w:tblGrid>
      </w:tblGridChange>
    </w:tblGrid>
    <w:tr>
      <w:trPr>
        <w:cantSplit w:val="1"/>
        <w:trHeight w:val="415"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0" distT="0" distL="114300" distR="114300">
                <wp:extent cx="948690" cy="672465"/>
                <wp:effectExtent b="0" l="0" r="0" t="0"/>
                <wp:docPr id="103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8690" cy="672465"/>
                        </a:xfrm>
                        <a:prstGeom prst="rect"/>
                        <a:ln/>
                      </pic:spPr>
                    </pic:pic>
                  </a:graphicData>
                </a:graphic>
              </wp:inline>
            </w:drawing>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SATISFACCIÓN DEL CLIENTE, QUEJAS Y APELACIONES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PO-OP-03</w:t>
          </w:r>
          <w:r w:rsidDel="00000000" w:rsidR="00000000" w:rsidRPr="00000000">
            <w:rPr>
              <w:rtl w:val="0"/>
            </w:rPr>
          </w:r>
        </w:p>
      </w:tc>
    </w:tr>
    <w:tr>
      <w:trPr>
        <w:cantSplit w:val="1"/>
        <w:trHeight w:val="557"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Revisión 0</w:t>
          </w:r>
          <w:r w:rsidDel="00000000" w:rsidR="00000000" w:rsidRPr="00000000">
            <w:rPr>
              <w:rFonts w:ascii="Arial" w:cs="Arial" w:eastAsia="Arial" w:hAnsi="Arial"/>
              <w:b w:val="1"/>
              <w:sz w:val="18"/>
              <w:szCs w:val="18"/>
              <w:rtl w:val="0"/>
            </w:rPr>
            <w:t xml:space="preserve">2</w:t>
          </w: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Fecha: </w:t>
          </w:r>
          <w:r w:rsidDel="00000000" w:rsidR="00000000" w:rsidRPr="00000000">
            <w:rPr>
              <w:rFonts w:ascii="Arial" w:cs="Arial" w:eastAsia="Arial" w:hAnsi="Arial"/>
              <w:b w:val="1"/>
              <w:sz w:val="18"/>
              <w:szCs w:val="18"/>
              <w:rtl w:val="0"/>
            </w:rPr>
            <w:t xml:space="preserve">22</w:t>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/07/2</w:t>
          </w:r>
          <w:r w:rsidDel="00000000" w:rsidR="00000000" w:rsidRPr="00000000">
            <w:rPr>
              <w:rFonts w:ascii="Arial" w:cs="Arial" w:eastAsia="Arial" w:hAnsi="Arial"/>
              <w:b w:val="1"/>
              <w:sz w:val="18"/>
              <w:szCs w:val="18"/>
              <w:rtl w:val="0"/>
            </w:rPr>
            <w:t xml:space="preserve">4</w:t>
          </w:r>
          <w:r w:rsidDel="00000000" w:rsidR="00000000" w:rsidRPr="00000000">
            <w:rPr>
              <w:rtl w:val="0"/>
            </w:rPr>
          </w:r>
        </w:p>
      </w:tc>
    </w:tr>
    <w:tr>
      <w:trPr>
        <w:cantSplit w:val="0"/>
        <w:trHeight w:val="330" w:hRule="atLeast"/>
        <w:tblHeader w:val="0"/>
      </w:trPr>
      <w:tc>
        <w:tcPr>
          <w:gridSpan w:val="2"/>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Página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de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pict>
        <v:shape id="PowerPlusWaterMarkObject2" style="position:absolute;width:500.0pt;height:143.0pt;rotation:0;z-index:-503316481;mso-position-horizontal-relative:margin;mso-position-horizontal:center;mso-position-vertical-relative:margin;mso-position-vertical:center;" fillcolor="#c0c0c0" stroked="f" type="#_x0000_t136">
          <v:fill angle="0" opacity="32768f"/>
          <v:textpath fitshape="t" string="CISA" style="font-family:&amp;quot;BankGothic Md BT&amp;quot;;font-size:1pt;"/>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pict>
        <v:shape id="PowerPlusWaterMarkObject1" style="position:absolute;width:500.0pt;height:143.0pt;rotation:0;z-index:-503316481;mso-position-horizontal-relative:margin;mso-position-horizontal:center;mso-position-vertical-relative:margin;mso-position-vertical:center;" fillcolor="#c0c0c0" stroked="f" type="#_x0000_t136">
          <v:fill angle="0" opacity="32768f"/>
          <v:textpath fitshape="t" string="CISA" style="font-family:&amp;quot;BankGothic Md BT&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s-ES" w:val="es-ES"/>
    </w:rPr>
  </w:style>
  <w:style w:type="paragraph" w:styleId="Título1">
    <w:name w:val="Título 1"/>
    <w:basedOn w:val="Normal"/>
    <w:next w:val="Normal"/>
    <w:autoRedefine w:val="0"/>
    <w:hidden w:val="0"/>
    <w:qFormat w:val="0"/>
    <w:pPr>
      <w:keepNext w:val="1"/>
      <w:suppressAutoHyphens w:val="1"/>
      <w:spacing w:line="1" w:lineRule="atLeast"/>
      <w:ind w:leftChars="-1" w:rightChars="0" w:firstLineChars="-1"/>
      <w:jc w:val="both"/>
      <w:textDirection w:val="btLr"/>
      <w:textAlignment w:val="top"/>
      <w:outlineLvl w:val="0"/>
    </w:pPr>
    <w:rPr>
      <w:rFonts w:ascii="Arial" w:hAnsi="Arial"/>
      <w:b w:val="1"/>
      <w:w w:val="100"/>
      <w:position w:val="-1"/>
      <w:sz w:val="22"/>
      <w:effect w:val="none"/>
      <w:vertAlign w:val="baseline"/>
      <w:cs w:val="0"/>
      <w:em w:val="none"/>
      <w:lang w:bidi="ar-SA" w:eastAsia="es-ES" w:val="es-ES"/>
    </w:rPr>
  </w:style>
  <w:style w:type="paragraph" w:styleId="Título2">
    <w:name w:val="Título 2"/>
    <w:basedOn w:val="Normal"/>
    <w:next w:val="Normal"/>
    <w:autoRedefine w:val="0"/>
    <w:hidden w:val="0"/>
    <w:qFormat w:val="0"/>
    <w:pPr>
      <w:keepNext w:val="1"/>
      <w:suppressAutoHyphens w:val="1"/>
      <w:spacing w:line="1" w:lineRule="atLeast"/>
      <w:ind w:left="851" w:leftChars="-1" w:rightChars="0" w:firstLineChars="-1"/>
      <w:jc w:val="both"/>
      <w:textDirection w:val="btLr"/>
      <w:textAlignment w:val="top"/>
      <w:outlineLvl w:val="1"/>
    </w:pPr>
    <w:rPr>
      <w:rFonts w:ascii="Arial" w:hAnsi="Arial"/>
      <w:noProof w:val="0"/>
      <w:snapToGrid w:val="0"/>
      <w:w w:val="100"/>
      <w:position w:val="-1"/>
      <w:sz w:val="24"/>
      <w:effect w:val="none"/>
      <w:vertAlign w:val="baseline"/>
      <w:cs w:val="0"/>
      <w:em w:val="none"/>
      <w:lang w:bidi="ar-SA" w:eastAsia="es-ES" w:val="es-ES"/>
    </w:rPr>
  </w:style>
  <w:style w:type="paragraph" w:styleId="Título3">
    <w:name w:val="Título 3"/>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2"/>
    </w:pPr>
    <w:rPr>
      <w:rFonts w:ascii="Arial" w:hAnsi="Arial"/>
      <w:b w:val="1"/>
      <w:noProof w:val="0"/>
      <w:w w:val="100"/>
      <w:position w:val="-1"/>
      <w:sz w:val="24"/>
      <w:effect w:val="none"/>
      <w:vertAlign w:val="baseline"/>
      <w:cs w:val="0"/>
      <w:em w:val="none"/>
      <w:lang w:bidi="ar-SA" w:eastAsia="es-ES" w:val="es-AR"/>
    </w:rPr>
  </w:style>
  <w:style w:type="paragraph" w:styleId="Título4">
    <w:name w:val="Título 4"/>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3"/>
    </w:pPr>
    <w:rPr>
      <w:rFonts w:ascii="Arial" w:hAnsi="Arial"/>
      <w:b w:val="1"/>
      <w:w w:val="100"/>
      <w:position w:val="-1"/>
      <w:effect w:val="none"/>
      <w:vertAlign w:val="baseline"/>
      <w:cs w:val="0"/>
      <w:em w:val="none"/>
      <w:lang w:bidi="ar-SA" w:eastAsia="es-ES" w:val="es-ES"/>
    </w:rPr>
  </w:style>
  <w:style w:type="paragraph" w:styleId="Título5">
    <w:name w:val="Título 5"/>
    <w:basedOn w:val="Normal"/>
    <w:next w:val="Normal"/>
    <w:autoRedefine w:val="0"/>
    <w:hidden w:val="0"/>
    <w:qFormat w:val="0"/>
    <w:pPr>
      <w:keepNext w:val="1"/>
      <w:suppressAutoHyphens w:val="1"/>
      <w:autoSpaceDE w:val="0"/>
      <w:autoSpaceDN w:val="0"/>
      <w:adjustRightInd w:val="0"/>
      <w:spacing w:line="1" w:lineRule="atLeast"/>
      <w:ind w:left="460" w:leftChars="-1" w:rightChars="0" w:hanging="460" w:firstLineChars="-1"/>
      <w:jc w:val="center"/>
      <w:textDirection w:val="btLr"/>
      <w:textAlignment w:val="top"/>
      <w:outlineLvl w:val="4"/>
    </w:pPr>
    <w:rPr>
      <w:rFonts w:ascii="Arial" w:hAnsi="Arial"/>
      <w:b w:val="1"/>
      <w:noProof w:val="0"/>
      <w:color w:val="ffffff"/>
      <w:w w:val="100"/>
      <w:position w:val="-1"/>
      <w:sz w:val="22"/>
      <w:effect w:val="none"/>
      <w:vertAlign w:val="baseline"/>
      <w:cs w:val="0"/>
      <w:em w:val="none"/>
      <w:lang w:bidi="ar-SA" w:eastAsia="es-ES" w:val="es-AR"/>
    </w:rPr>
  </w:style>
  <w:style w:type="paragraph" w:styleId="Título6">
    <w:name w:val="Título 6"/>
    <w:basedOn w:val="Normal"/>
    <w:next w:val="Normal"/>
    <w:autoRedefine w:val="0"/>
    <w:hidden w:val="0"/>
    <w:qFormat w:val="0"/>
    <w:pPr>
      <w:keepNext w:val="1"/>
      <w:numPr>
        <w:ilvl w:val="12"/>
        <w:numId w:val="0"/>
      </w:numPr>
      <w:suppressAutoHyphens w:val="1"/>
      <w:spacing w:line="1" w:lineRule="atLeast"/>
      <w:ind w:left="851" w:leftChars="-1" w:rightChars="0" w:firstLineChars="-1"/>
      <w:jc w:val="both"/>
      <w:textDirection w:val="btLr"/>
      <w:textAlignment w:val="top"/>
      <w:outlineLvl w:val="5"/>
    </w:pPr>
    <w:rPr>
      <w:rFonts w:ascii="Arial" w:hAnsi="Arial"/>
      <w:b w:val="1"/>
      <w:noProof w:val="0"/>
      <w:w w:val="100"/>
      <w:position w:val="-1"/>
      <w:sz w:val="24"/>
      <w:effect w:val="none"/>
      <w:vertAlign w:val="baseline"/>
      <w:cs w:val="0"/>
      <w:em w:val="none"/>
      <w:lang w:bidi="ar-SA" w:eastAsia="es-ES" w:val="es-ES"/>
    </w:rPr>
  </w:style>
  <w:style w:type="paragraph" w:styleId="Título7">
    <w:name w:val="Título 7"/>
    <w:basedOn w:val="Normal"/>
    <w:next w:val="Normal"/>
    <w:autoRedefine w:val="0"/>
    <w:hidden w:val="0"/>
    <w:qFormat w:val="0"/>
    <w:pPr>
      <w:keepNext w:val="1"/>
      <w:suppressAutoHyphens w:val="1"/>
      <w:spacing w:after="120" w:line="1" w:lineRule="atLeast"/>
      <w:ind w:leftChars="-1" w:rightChars="0" w:firstLineChars="-1"/>
      <w:jc w:val="both"/>
      <w:textDirection w:val="btLr"/>
      <w:textAlignment w:val="top"/>
      <w:outlineLvl w:val="6"/>
    </w:pPr>
    <w:rPr>
      <w:rFonts w:ascii="Courier New" w:hAnsi="Courier New"/>
      <w:b w:val="1"/>
      <w:i w:val="1"/>
      <w:noProof w:val="0"/>
      <w:color w:val="008000"/>
      <w:w w:val="100"/>
      <w:position w:val="-1"/>
      <w:sz w:val="24"/>
      <w:effect w:val="none"/>
      <w:vertAlign w:val="baseline"/>
      <w:cs w:val="0"/>
      <w:em w:val="none"/>
      <w:lang w:bidi="ar-SA" w:eastAsia="es-ES" w:val="es-ES"/>
    </w:rPr>
  </w:style>
  <w:style w:type="paragraph" w:styleId="Título8">
    <w:name w:val="Título 8"/>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7"/>
    </w:pPr>
    <w:rPr>
      <w:rFonts w:ascii="Arial" w:hAnsi="Arial"/>
      <w:b w:val="1"/>
      <w:w w:val="100"/>
      <w:position w:val="-1"/>
      <w:sz w:val="22"/>
      <w:effect w:val="none"/>
      <w:vertAlign w:val="baseline"/>
      <w:cs w:val="0"/>
      <w:em w:val="none"/>
      <w:lang w:bidi="ar-SA" w:eastAsia="es-ES" w:val="es-ES"/>
    </w:rPr>
  </w:style>
  <w:style w:type="paragraph" w:styleId="Título9">
    <w:name w:val="Título 9"/>
    <w:basedOn w:val="Normal"/>
    <w:next w:val="Normal"/>
    <w:autoRedefine w:val="0"/>
    <w:hidden w:val="0"/>
    <w:qFormat w:val="0"/>
    <w:pPr>
      <w:keepNext w:val="1"/>
      <w:suppressAutoHyphens w:val="1"/>
      <w:spacing w:line="1" w:lineRule="atLeast"/>
      <w:ind w:leftChars="-1" w:rightChars="0" w:firstLineChars="-1"/>
      <w:textDirection w:val="btLr"/>
      <w:textAlignment w:val="top"/>
      <w:outlineLvl w:val="8"/>
    </w:pPr>
    <w:rPr>
      <w:rFonts w:ascii="Arial" w:hAnsi="Arial"/>
      <w:b w:val="1"/>
      <w:bCs w:val="1"/>
      <w:w w:val="100"/>
      <w:position w:val="-1"/>
      <w:sz w:val="22"/>
      <w:effect w:val="none"/>
      <w:vertAlign w:val="baseline"/>
      <w:cs w:val="0"/>
      <w:em w:val="none"/>
      <w:lang w:bidi="ar-SA" w:eastAsia="es-ES" w:val="es-AR"/>
    </w:rPr>
  </w:style>
  <w:style w:type="character" w:styleId="Fuentedepárrafopredeter.">
    <w:name w:val="Fuente de párrafo predeter."/>
    <w:next w:val="Fuentedepárrafopredeter."/>
    <w:autoRedefine w:val="0"/>
    <w:hidden w:val="0"/>
    <w:qFormat w:val="0"/>
    <w:rPr>
      <w:w w:val="100"/>
      <w:position w:val="-1"/>
      <w:effect w:val="none"/>
      <w:vertAlign w:val="baseline"/>
      <w:cs w:val="0"/>
      <w:em w:val="none"/>
      <w:lang/>
    </w:rPr>
  </w:style>
  <w:style w:type="table" w:styleId="Tablanormal">
    <w:name w:val="Tabla normal"/>
    <w:next w:val="Tab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anormal"/>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0"/>
    <w:pPr>
      <w:suppressAutoHyphens w:val="1"/>
      <w:spacing w:line="1" w:lineRule="atLeast"/>
      <w:ind w:leftChars="-1" w:rightChars="0" w:firstLineChars="-1"/>
      <w:textDirection w:val="btLr"/>
      <w:textAlignment w:val="top"/>
      <w:outlineLvl w:val="0"/>
    </w:pPr>
  </w:style>
  <w:style w:type="paragraph" w:styleId="Encabezado">
    <w:name w:val="Encabezado"/>
    <w:basedOn w:val="Normal"/>
    <w:next w:val="Encabezado"/>
    <w:autoRedefine w:val="0"/>
    <w:hidden w:val="0"/>
    <w:qFormat w:val="0"/>
    <w:pPr>
      <w:tabs>
        <w:tab w:val="center" w:leader="none" w:pos="4419"/>
        <w:tab w:val="right" w:leader="none" w:pos="8838"/>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s-ES" w:val="es-ES"/>
    </w:rPr>
  </w:style>
  <w:style w:type="paragraph" w:styleId="Textoindependiente">
    <w:name w:val="Texto independiente"/>
    <w:basedOn w:val="Normal"/>
    <w:next w:val="Textoindependiente"/>
    <w:autoRedefine w:val="0"/>
    <w:hidden w:val="0"/>
    <w:qFormat w:val="0"/>
    <w:pPr>
      <w:suppressAutoHyphens w:val="1"/>
      <w:spacing w:line="1" w:lineRule="atLeast"/>
      <w:ind w:leftChars="-1" w:rightChars="0" w:firstLineChars="-1"/>
      <w:jc w:val="both"/>
      <w:textDirection w:val="btLr"/>
      <w:textAlignment w:val="top"/>
      <w:outlineLvl w:val="0"/>
    </w:pPr>
    <w:rPr>
      <w:rFonts w:ascii="Arial" w:hAnsi="Arial"/>
      <w:w w:val="100"/>
      <w:position w:val="-1"/>
      <w:sz w:val="22"/>
      <w:effect w:val="none"/>
      <w:vertAlign w:val="baseline"/>
      <w:cs w:val="0"/>
      <w:em w:val="none"/>
      <w:lang w:bidi="ar-SA" w:eastAsia="es-ES" w:val="es-ES"/>
    </w:rPr>
  </w:style>
  <w:style w:type="paragraph" w:styleId="Textoindependiente2">
    <w:name w:val="Texto independiente 2"/>
    <w:basedOn w:val="Normal"/>
    <w:next w:val="Textoindependiente2"/>
    <w:autoRedefine w:val="0"/>
    <w:hidden w:val="0"/>
    <w:qFormat w:val="0"/>
    <w:pPr>
      <w:suppressAutoHyphens w:val="1"/>
      <w:spacing w:line="1" w:lineRule="atLeast"/>
      <w:ind w:leftChars="-1" w:rightChars="0" w:firstLineChars="-1"/>
      <w:jc w:val="both"/>
      <w:textDirection w:val="btLr"/>
      <w:textAlignment w:val="top"/>
      <w:outlineLvl w:val="0"/>
    </w:pPr>
    <w:rPr>
      <w:rFonts w:ascii="Arial" w:hAnsi="Arial"/>
      <w:w w:val="100"/>
      <w:position w:val="-1"/>
      <w:effect w:val="none"/>
      <w:vertAlign w:val="baseline"/>
      <w:cs w:val="0"/>
      <w:em w:val="none"/>
      <w:lang w:bidi="ar-SA" w:eastAsia="es-ES" w:val="es-ES"/>
    </w:rPr>
  </w:style>
  <w:style w:type="paragraph" w:styleId="Sangríadetextonormal">
    <w:name w:val="Sangría de texto normal"/>
    <w:basedOn w:val="Normal"/>
    <w:next w:val="Sangríadetextonormal"/>
    <w:autoRedefine w:val="0"/>
    <w:hidden w:val="0"/>
    <w:qFormat w:val="0"/>
    <w:pPr>
      <w:suppressAutoHyphens w:val="1"/>
      <w:spacing w:line="1" w:lineRule="atLeast"/>
      <w:ind w:left="567" w:leftChars="-1" w:rightChars="0" w:firstLineChars="-1"/>
      <w:jc w:val="both"/>
      <w:textDirection w:val="btLr"/>
      <w:textAlignment w:val="top"/>
      <w:outlineLvl w:val="0"/>
    </w:pPr>
    <w:rPr>
      <w:rFonts w:ascii="Arial" w:hAnsi="Arial"/>
      <w:w w:val="100"/>
      <w:position w:val="-1"/>
      <w:sz w:val="22"/>
      <w:effect w:val="none"/>
      <w:vertAlign w:val="baseline"/>
      <w:cs w:val="0"/>
      <w:em w:val="none"/>
      <w:lang w:bidi="ar-SA" w:eastAsia="es-ES" w:val="es-ES"/>
    </w:rPr>
  </w:style>
  <w:style w:type="paragraph" w:styleId="Sangría2det.independiente">
    <w:name w:val="Sangría 2 de t. independiente"/>
    <w:basedOn w:val="Normal"/>
    <w:next w:val="Sangría2det.independiente"/>
    <w:autoRedefine w:val="0"/>
    <w:hidden w:val="0"/>
    <w:qFormat w:val="0"/>
    <w:pPr>
      <w:suppressAutoHyphens w:val="1"/>
      <w:spacing w:line="1" w:lineRule="atLeast"/>
      <w:ind w:left="709" w:leftChars="-1" w:rightChars="0" w:firstLineChars="-1"/>
      <w:jc w:val="both"/>
      <w:textDirection w:val="btLr"/>
      <w:textAlignment w:val="top"/>
      <w:outlineLvl w:val="0"/>
    </w:pPr>
    <w:rPr>
      <w:rFonts w:ascii="Arial" w:hAnsi="Arial"/>
      <w:w w:val="100"/>
      <w:position w:val="-1"/>
      <w:sz w:val="22"/>
      <w:effect w:val="none"/>
      <w:vertAlign w:val="baseline"/>
      <w:cs w:val="0"/>
      <w:em w:val="none"/>
      <w:lang w:bidi="ar-SA" w:eastAsia="es-ES" w:val="es-ES"/>
    </w:rPr>
  </w:style>
  <w:style w:type="paragraph" w:styleId="Piedepágina">
    <w:name w:val="Pie de página"/>
    <w:basedOn w:val="Normal"/>
    <w:next w:val="Piedepágina"/>
    <w:autoRedefine w:val="0"/>
    <w:hidden w:val="0"/>
    <w:qFormat w:val="0"/>
    <w:pPr>
      <w:tabs>
        <w:tab w:val="center" w:leader="none" w:pos="4419"/>
        <w:tab w:val="right" w:leader="none" w:pos="8838"/>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s-ES" w:val="es-ES"/>
    </w:rPr>
  </w:style>
  <w:style w:type="paragraph" w:styleId="Textoindependiente3">
    <w:name w:val="Texto independiente 3"/>
    <w:basedOn w:val="Normal"/>
    <w:next w:val="Textoindependiente3"/>
    <w:autoRedefine w:val="0"/>
    <w:hidden w:val="0"/>
    <w:qFormat w:val="0"/>
    <w:pPr>
      <w:tabs>
        <w:tab w:val="left" w:leader="none" w:pos="851"/>
      </w:tabs>
      <w:suppressAutoHyphens w:val="1"/>
      <w:spacing w:line="1" w:lineRule="atLeast"/>
      <w:ind w:leftChars="-1" w:rightChars="0" w:firstLineChars="-1"/>
      <w:jc w:val="both"/>
      <w:textDirection w:val="btLr"/>
      <w:textAlignment w:val="top"/>
      <w:outlineLvl w:val="0"/>
    </w:pPr>
    <w:rPr>
      <w:rFonts w:ascii="Arial" w:hAnsi="Arial"/>
      <w:noProof w:val="0"/>
      <w:snapToGrid w:val="0"/>
      <w:w w:val="100"/>
      <w:position w:val="-1"/>
      <w:sz w:val="24"/>
      <w:effect w:val="none"/>
      <w:vertAlign w:val="baseline"/>
      <w:cs w:val="0"/>
      <w:em w:val="none"/>
      <w:lang w:bidi="ar-SA" w:eastAsia="es-ES" w:val="es-ES"/>
    </w:rPr>
  </w:style>
  <w:style w:type="paragraph" w:styleId="Sangría3det.independiente">
    <w:name w:val="Sangría 3 de t. independiente"/>
    <w:basedOn w:val="Normal"/>
    <w:next w:val="Sangría3det.independiente"/>
    <w:autoRedefine w:val="0"/>
    <w:hidden w:val="0"/>
    <w:qFormat w:val="0"/>
    <w:pPr>
      <w:suppressAutoHyphens w:val="1"/>
      <w:autoSpaceDE w:val="0"/>
      <w:autoSpaceDN w:val="0"/>
      <w:adjustRightInd w:val="0"/>
      <w:spacing w:line="1" w:lineRule="atLeast"/>
      <w:ind w:left="460" w:leftChars="-1" w:rightChars="0" w:hanging="460" w:firstLineChars="-1"/>
      <w:jc w:val="center"/>
      <w:textDirection w:val="btLr"/>
      <w:textAlignment w:val="top"/>
      <w:outlineLvl w:val="0"/>
    </w:pPr>
    <w:rPr>
      <w:rFonts w:ascii="Arial" w:hAnsi="Arial"/>
      <w:b w:val="1"/>
      <w:noProof w:val="0"/>
      <w:color w:val="ffffff"/>
      <w:w w:val="100"/>
      <w:position w:val="-1"/>
      <w:sz w:val="22"/>
      <w:effect w:val="none"/>
      <w:vertAlign w:val="baseline"/>
      <w:cs w:val="0"/>
      <w:em w:val="none"/>
      <w:lang w:bidi="ar-SA" w:eastAsia="es-ES" w:val="es-AR"/>
    </w:rPr>
  </w:style>
  <w:style w:type="paragraph" w:styleId="Textodeglobo">
    <w:name w:val="Texto de globo"/>
    <w:basedOn w:val="Normal"/>
    <w:next w:val="Textodeglobo"/>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s-ES" w:val="es-ES"/>
    </w:rPr>
  </w:style>
  <w:style w:type="character" w:styleId="Númerodepágina">
    <w:name w:val="Número de página"/>
    <w:basedOn w:val="Fuentedepárrafopredeter."/>
    <w:next w:val="Númerodepágina"/>
    <w:autoRedefine w:val="0"/>
    <w:hidden w:val="0"/>
    <w:qFormat w:val="0"/>
    <w:rPr>
      <w:w w:val="100"/>
      <w:position w:val="-1"/>
      <w:effect w:val="none"/>
      <w:vertAlign w:val="baseline"/>
      <w:cs w:val="0"/>
      <w:em w:val="none"/>
      <w:lang/>
    </w:rPr>
  </w:style>
  <w:style w:type="character" w:styleId="Ref.decomentario">
    <w:name w:val="Ref. de comentario"/>
    <w:next w:val="Ref.decomentario"/>
    <w:autoRedefine w:val="0"/>
    <w:hidden w:val="0"/>
    <w:qFormat w:val="0"/>
    <w:rPr>
      <w:w w:val="100"/>
      <w:position w:val="-1"/>
      <w:sz w:val="16"/>
      <w:szCs w:val="16"/>
      <w:effect w:val="none"/>
      <w:vertAlign w:val="baseline"/>
      <w:cs w:val="0"/>
      <w:em w:val="none"/>
      <w:lang/>
    </w:rPr>
  </w:style>
  <w:style w:type="paragraph" w:styleId="Ute">
    <w:name w:val="Ute"/>
    <w:basedOn w:val="Normal"/>
    <w:next w:val="Ute"/>
    <w:autoRedefine w:val="0"/>
    <w:hidden w:val="0"/>
    <w:qFormat w:val="0"/>
    <w:pPr>
      <w:widowControl w:val="0"/>
      <w:tabs>
        <w:tab w:val="left" w:leader="none" w:pos="709"/>
      </w:tabs>
      <w:suppressAutoHyphens w:val="1"/>
      <w:spacing w:line="1" w:lineRule="atLeast"/>
      <w:ind w:leftChars="-1" w:rightChars="0" w:firstLineChars="-1"/>
      <w:jc w:val="both"/>
      <w:textDirection w:val="btLr"/>
      <w:textAlignment w:val="top"/>
      <w:outlineLvl w:val="0"/>
    </w:pPr>
    <w:rPr>
      <w:rFonts w:ascii="Arial" w:hAnsi="Arial"/>
      <w:b w:val="1"/>
      <w:w w:val="100"/>
      <w:position w:val="-1"/>
      <w:sz w:val="24"/>
      <w:effect w:val="none"/>
      <w:vertAlign w:val="baseline"/>
      <w:cs w:val="0"/>
      <w:em w:val="none"/>
      <w:lang w:bidi="ar-SA" w:eastAsia="es-ES" w:val="es-ES"/>
    </w:rPr>
  </w:style>
  <w:style w:type="paragraph" w:styleId="Párrafodelista">
    <w:name w:val="Párrafo de lista"/>
    <w:basedOn w:val="Normal"/>
    <w:next w:val="Párrafodelista"/>
    <w:autoRedefine w:val="0"/>
    <w:hidden w:val="0"/>
    <w:qFormat w:val="0"/>
    <w:pPr>
      <w:suppressAutoHyphens w:val="1"/>
      <w:spacing w:line="1" w:lineRule="atLeast"/>
      <w:ind w:left="708"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EncabezadoCar">
    <w:name w:val="Encabezado Car"/>
    <w:next w:val="EncabezadoCar"/>
    <w:autoRedefine w:val="0"/>
    <w:hidden w:val="0"/>
    <w:qFormat w:val="0"/>
    <w:rPr>
      <w:w w:val="100"/>
      <w:position w:val="-1"/>
      <w:effect w:val="none"/>
      <w:vertAlign w:val="baseline"/>
      <w:cs w:val="0"/>
      <w:em w:val="none"/>
      <w:lang w:eastAsia="es-ES" w:val="es-ES"/>
    </w:rPr>
  </w:style>
  <w:style w:type="paragraph" w:styleId="Normal(Web)">
    <w:name w:val="Normal (Web)"/>
    <w:basedOn w:val="Normal"/>
    <w:next w:val="Normal(Web)"/>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Arial Unicode MS" w:cs="Arial Unicode MS" w:eastAsia="Arial Unicode MS" w:hAnsi="Arial Unicode MS"/>
      <w:w w:val="100"/>
      <w:position w:val="-1"/>
      <w:sz w:val="24"/>
      <w:szCs w:val="24"/>
      <w:effect w:val="none"/>
      <w:vertAlign w:val="baseline"/>
      <w:cs w:val="0"/>
      <w:em w:val="none"/>
      <w:lang w:bidi="ar-SA" w:eastAsia="es-ES" w:val="es-ES"/>
    </w:rPr>
  </w:style>
  <w:style w:type="paragraph" w:styleId="Cita">
    <w:name w:val="Cita"/>
    <w:basedOn w:val="Normal"/>
    <w:next w:val="Normal"/>
    <w:autoRedefine w:val="0"/>
    <w:hidden w:val="0"/>
    <w:qFormat w:val="0"/>
    <w:pPr>
      <w:suppressAutoHyphens w:val="1"/>
      <w:spacing w:line="1" w:lineRule="atLeast"/>
      <w:ind w:leftChars="-1" w:rightChars="0" w:firstLineChars="-1"/>
      <w:textDirection w:val="btLr"/>
      <w:textAlignment w:val="top"/>
      <w:outlineLvl w:val="0"/>
    </w:pPr>
    <w:rPr>
      <w:rFonts w:ascii="Arial" w:hAnsi="Arial"/>
      <w:i w:val="1"/>
      <w:iCs w:val="1"/>
      <w:color w:val="000000"/>
      <w:w w:val="100"/>
      <w:position w:val="-1"/>
      <w:effect w:val="none"/>
      <w:vertAlign w:val="baseline"/>
      <w:cs w:val="0"/>
      <w:em w:val="none"/>
      <w:lang w:bidi="ar-SA" w:eastAsia="es-ES" w:val="es-ES"/>
    </w:rPr>
  </w:style>
  <w:style w:type="character" w:styleId="CitaCar">
    <w:name w:val="Cita Car"/>
    <w:next w:val="CitaCar"/>
    <w:autoRedefine w:val="0"/>
    <w:hidden w:val="0"/>
    <w:qFormat w:val="0"/>
    <w:rPr>
      <w:rFonts w:ascii="Arial" w:hAnsi="Arial"/>
      <w:i w:val="1"/>
      <w:iCs w:val="1"/>
      <w:color w:val="000000"/>
      <w:w w:val="100"/>
      <w:position w:val="-1"/>
      <w:effect w:val="none"/>
      <w:vertAlign w:val="baseline"/>
      <w:cs w:val="0"/>
      <w:em w:val="none"/>
      <w:lang w:eastAsia="es-ES" w:val="es-ES"/>
    </w:rPr>
  </w:style>
  <w:style w:type="character" w:styleId="Hipervínculo">
    <w:name w:val="Hipervínculo"/>
    <w:next w:val="Hipervínculo"/>
    <w:autoRedefine w:val="0"/>
    <w:hidden w:val="0"/>
    <w:qFormat w:val="0"/>
    <w:rPr>
      <w:color w:val="0000ff"/>
      <w:w w:val="100"/>
      <w:position w:val="-1"/>
      <w:u w:val="single"/>
      <w:effect w:val="none"/>
      <w:vertAlign w:val="baseline"/>
      <w:cs w:val="0"/>
      <w:em w:val="none"/>
      <w:lang/>
    </w:rPr>
  </w:style>
  <w:style w:type="paragraph" w:styleId="Textocomentario">
    <w:name w:val="Texto comentario"/>
    <w:basedOn w:val="Normal"/>
    <w:next w:val="Textocomentario"/>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s-ES" w:val="es-ES"/>
    </w:rPr>
  </w:style>
  <w:style w:type="character" w:styleId="TextocomentarioCar">
    <w:name w:val="Texto comentario Car"/>
    <w:basedOn w:val="Fuentedepárrafopredeter."/>
    <w:next w:val="TextocomentarioCar"/>
    <w:autoRedefine w:val="0"/>
    <w:hidden w:val="0"/>
    <w:qFormat w:val="0"/>
    <w:rPr>
      <w:w w:val="100"/>
      <w:position w:val="-1"/>
      <w:effect w:val="none"/>
      <w:vertAlign w:val="baseline"/>
      <w:cs w:val="0"/>
      <w:em w:val="none"/>
      <w:lang/>
    </w:rPr>
  </w:style>
  <w:style w:type="paragraph" w:styleId="Asuntodelcomentario">
    <w:name w:val="Asunto del comentario"/>
    <w:basedOn w:val="Textocomentario"/>
    <w:next w:val="Textocomentario"/>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effect w:val="none"/>
      <w:vertAlign w:val="baseline"/>
      <w:cs w:val="0"/>
      <w:em w:val="none"/>
      <w:lang w:bidi="ar-SA" w:eastAsia="es-ES" w:val="es-ES"/>
    </w:rPr>
  </w:style>
  <w:style w:type="character" w:styleId="AsuntodelcomentarioCar">
    <w:name w:val="Asunto del comentario Car"/>
    <w:next w:val="AsuntodelcomentarioCar"/>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3.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setec.nqn@gmail.com" TargetMode="External"/><Relationship Id="rId8" Type="http://schemas.openxmlformats.org/officeDocument/2006/relationships/hyperlink" Target="http://www.insetec-srl.com.a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Bp6jbH+FWwob/Mu//HlKsp/t/A==">CgMxLjA4AHIhMWFiV1RUMHFuTWUwcnowTy1pWlUtcmxhWklqOU9Qd2hr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2023-11-13T23:18:00Z</dcterms:created>
  <dc:creator>SGI</dc:creator>
</cp:coreProperties>
</file>